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72" w:type="dxa"/>
        <w:tblInd w:w="-993" w:type="dxa"/>
        <w:tblLook w:val="04A0" w:firstRow="1" w:lastRow="0" w:firstColumn="1" w:lastColumn="0" w:noHBand="0" w:noVBand="1"/>
      </w:tblPr>
      <w:tblGrid>
        <w:gridCol w:w="563"/>
        <w:gridCol w:w="1564"/>
        <w:gridCol w:w="1701"/>
        <w:gridCol w:w="2410"/>
        <w:gridCol w:w="3969"/>
        <w:gridCol w:w="10"/>
        <w:gridCol w:w="1539"/>
        <w:gridCol w:w="10"/>
        <w:gridCol w:w="1691"/>
        <w:gridCol w:w="1705"/>
        <w:gridCol w:w="10"/>
      </w:tblGrid>
      <w:tr w:rsidR="0095650A" w:rsidRPr="0095650A" w:rsidTr="0095650A">
        <w:trPr>
          <w:trHeight w:val="375"/>
        </w:trPr>
        <w:tc>
          <w:tcPr>
            <w:tcW w:w="15172" w:type="dxa"/>
            <w:gridSpan w:val="11"/>
            <w:tcBorders>
              <w:top w:val="nil"/>
              <w:left w:val="nil"/>
              <w:bottom w:val="nil"/>
              <w:right w:val="nil"/>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Tổng hợp xử phạt vi phạm hành chính (từ ngày 06/11/2023 đến ngày 10/11/2023)</w:t>
            </w:r>
          </w:p>
        </w:tc>
      </w:tr>
      <w:tr w:rsidR="0095650A" w:rsidRPr="0095650A" w:rsidTr="0095650A">
        <w:trPr>
          <w:gridAfter w:val="1"/>
          <w:wAfter w:w="10" w:type="dxa"/>
          <w:trHeight w:val="375"/>
        </w:trPr>
        <w:tc>
          <w:tcPr>
            <w:tcW w:w="563" w:type="dxa"/>
            <w:tcBorders>
              <w:top w:val="nil"/>
              <w:left w:val="nil"/>
              <w:bottom w:val="nil"/>
              <w:right w:val="nil"/>
            </w:tcBorders>
            <w:shd w:val="clear" w:color="000000" w:fill="FFFFFF"/>
            <w:noWrap/>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8"/>
                <w:szCs w:val="28"/>
              </w:rPr>
            </w:pPr>
            <w:r w:rsidRPr="0095650A">
              <w:rPr>
                <w:rFonts w:ascii="Times New Roman" w:eastAsia="Times New Roman" w:hAnsi="Times New Roman" w:cs="Times New Roman"/>
                <w:color w:val="000000"/>
                <w:sz w:val="28"/>
                <w:szCs w:val="28"/>
              </w:rPr>
              <w:t> </w:t>
            </w:r>
          </w:p>
        </w:tc>
        <w:tc>
          <w:tcPr>
            <w:tcW w:w="1564" w:type="dxa"/>
            <w:tcBorders>
              <w:top w:val="nil"/>
              <w:left w:val="nil"/>
              <w:bottom w:val="nil"/>
              <w:right w:val="nil"/>
            </w:tcBorders>
            <w:shd w:val="clear" w:color="000000" w:fill="FFFFFF"/>
            <w:noWrap/>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8"/>
                <w:szCs w:val="28"/>
              </w:rPr>
            </w:pPr>
            <w:r w:rsidRPr="0095650A">
              <w:rPr>
                <w:rFonts w:ascii="Times New Roman" w:eastAsia="Times New Roman" w:hAnsi="Times New Roman" w:cs="Times New Roman"/>
                <w:color w:val="000000"/>
                <w:sz w:val="28"/>
                <w:szCs w:val="28"/>
              </w:rPr>
              <w:t> </w:t>
            </w:r>
          </w:p>
        </w:tc>
        <w:tc>
          <w:tcPr>
            <w:tcW w:w="1701" w:type="dxa"/>
            <w:tcBorders>
              <w:top w:val="nil"/>
              <w:left w:val="nil"/>
              <w:bottom w:val="nil"/>
              <w:right w:val="nil"/>
            </w:tcBorders>
            <w:shd w:val="clear" w:color="000000" w:fill="FFFFFF"/>
            <w:noWrap/>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8"/>
                <w:szCs w:val="28"/>
              </w:rPr>
            </w:pPr>
            <w:r w:rsidRPr="0095650A">
              <w:rPr>
                <w:rFonts w:ascii="Times New Roman" w:eastAsia="Times New Roman" w:hAnsi="Times New Roman" w:cs="Times New Roman"/>
                <w:color w:val="000000"/>
                <w:sz w:val="28"/>
                <w:szCs w:val="28"/>
              </w:rPr>
              <w:t> </w:t>
            </w:r>
          </w:p>
        </w:tc>
        <w:tc>
          <w:tcPr>
            <w:tcW w:w="2410" w:type="dxa"/>
            <w:tcBorders>
              <w:top w:val="nil"/>
              <w:left w:val="nil"/>
              <w:bottom w:val="nil"/>
              <w:right w:val="nil"/>
            </w:tcBorders>
            <w:shd w:val="clear" w:color="000000" w:fill="FFFFFF"/>
            <w:noWrap/>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8"/>
                <w:szCs w:val="28"/>
              </w:rPr>
            </w:pPr>
            <w:r w:rsidRPr="0095650A">
              <w:rPr>
                <w:rFonts w:ascii="Times New Roman" w:eastAsia="Times New Roman" w:hAnsi="Times New Roman" w:cs="Times New Roman"/>
                <w:color w:val="000000"/>
                <w:sz w:val="28"/>
                <w:szCs w:val="28"/>
              </w:rPr>
              <w:t> </w:t>
            </w:r>
          </w:p>
        </w:tc>
        <w:tc>
          <w:tcPr>
            <w:tcW w:w="3969" w:type="dxa"/>
            <w:tcBorders>
              <w:top w:val="nil"/>
              <w:left w:val="nil"/>
              <w:bottom w:val="nil"/>
              <w:right w:val="nil"/>
            </w:tcBorders>
            <w:shd w:val="clear" w:color="000000" w:fill="FFFFFF"/>
            <w:noWrap/>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8"/>
                <w:szCs w:val="28"/>
              </w:rPr>
            </w:pPr>
            <w:r w:rsidRPr="0095650A">
              <w:rPr>
                <w:rFonts w:ascii="Times New Roman" w:eastAsia="Times New Roman" w:hAnsi="Times New Roman" w:cs="Times New Roman"/>
                <w:color w:val="000000"/>
                <w:sz w:val="28"/>
                <w:szCs w:val="28"/>
              </w:rPr>
              <w:t> </w:t>
            </w:r>
          </w:p>
        </w:tc>
        <w:tc>
          <w:tcPr>
            <w:tcW w:w="1549" w:type="dxa"/>
            <w:gridSpan w:val="2"/>
            <w:tcBorders>
              <w:top w:val="nil"/>
              <w:left w:val="nil"/>
              <w:bottom w:val="nil"/>
              <w:right w:val="nil"/>
            </w:tcBorders>
            <w:shd w:val="clear" w:color="000000" w:fill="FFFFFF"/>
            <w:noWrap/>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8"/>
                <w:szCs w:val="28"/>
              </w:rPr>
            </w:pPr>
            <w:r w:rsidRPr="0095650A">
              <w:rPr>
                <w:rFonts w:ascii="Times New Roman" w:eastAsia="Times New Roman" w:hAnsi="Times New Roman" w:cs="Times New Roman"/>
                <w:b/>
                <w:bCs/>
                <w:color w:val="000000"/>
                <w:sz w:val="28"/>
                <w:szCs w:val="28"/>
              </w:rPr>
              <w:t> </w:t>
            </w:r>
          </w:p>
        </w:tc>
        <w:tc>
          <w:tcPr>
            <w:tcW w:w="1701" w:type="dxa"/>
            <w:gridSpan w:val="2"/>
            <w:tcBorders>
              <w:top w:val="nil"/>
              <w:left w:val="nil"/>
              <w:bottom w:val="nil"/>
              <w:right w:val="nil"/>
            </w:tcBorders>
            <w:shd w:val="clear" w:color="000000" w:fill="FFFFFF"/>
            <w:noWrap/>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8"/>
                <w:szCs w:val="28"/>
              </w:rPr>
            </w:pPr>
            <w:r w:rsidRPr="0095650A">
              <w:rPr>
                <w:rFonts w:ascii="Times New Roman" w:eastAsia="Times New Roman" w:hAnsi="Times New Roman" w:cs="Times New Roman"/>
                <w:color w:val="000000"/>
                <w:sz w:val="28"/>
                <w:szCs w:val="28"/>
              </w:rPr>
              <w:t> </w:t>
            </w:r>
          </w:p>
        </w:tc>
        <w:tc>
          <w:tcPr>
            <w:tcW w:w="1705" w:type="dxa"/>
            <w:tcBorders>
              <w:top w:val="nil"/>
              <w:left w:val="nil"/>
              <w:bottom w:val="nil"/>
              <w:right w:val="nil"/>
            </w:tcBorders>
            <w:shd w:val="clear" w:color="000000" w:fill="FFFFFF"/>
            <w:noWrap/>
            <w:vAlign w:val="bottom"/>
            <w:hideMark/>
          </w:tcPr>
          <w:p w:rsidR="0095650A" w:rsidRPr="0095650A" w:rsidRDefault="0095650A" w:rsidP="0095650A">
            <w:pPr>
              <w:spacing w:after="0" w:line="240" w:lineRule="auto"/>
              <w:rPr>
                <w:rFonts w:ascii="Times New Roman" w:eastAsia="Times New Roman" w:hAnsi="Times New Roman" w:cs="Times New Roman"/>
                <w:color w:val="000000"/>
                <w:sz w:val="28"/>
                <w:szCs w:val="28"/>
              </w:rPr>
            </w:pPr>
            <w:r w:rsidRPr="0095650A">
              <w:rPr>
                <w:rFonts w:ascii="Times New Roman" w:eastAsia="Times New Roman" w:hAnsi="Times New Roman" w:cs="Times New Roman"/>
                <w:color w:val="000000"/>
                <w:sz w:val="28"/>
                <w:szCs w:val="28"/>
              </w:rPr>
              <w:t> </w:t>
            </w:r>
          </w:p>
        </w:tc>
      </w:tr>
      <w:tr w:rsidR="0095650A" w:rsidRPr="0095650A" w:rsidTr="0095650A">
        <w:trPr>
          <w:gridAfter w:val="1"/>
          <w:wAfter w:w="10" w:type="dxa"/>
          <w:trHeight w:val="66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TT</w:t>
            </w:r>
          </w:p>
        </w:tc>
        <w:tc>
          <w:tcPr>
            <w:tcW w:w="1564" w:type="dxa"/>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sz w:val="26"/>
                <w:szCs w:val="26"/>
              </w:rPr>
            </w:pPr>
            <w:r w:rsidRPr="0095650A">
              <w:rPr>
                <w:rFonts w:ascii="Times New Roman" w:eastAsia="Times New Roman" w:hAnsi="Times New Roman" w:cs="Times New Roman"/>
                <w:b/>
                <w:bCs/>
                <w:sz w:val="26"/>
                <w:szCs w:val="26"/>
              </w:rPr>
              <w:t>Số, ngày ra Quyết định XPVPHC</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sz w:val="26"/>
                <w:szCs w:val="26"/>
              </w:rPr>
            </w:pPr>
            <w:r w:rsidRPr="0095650A">
              <w:rPr>
                <w:rFonts w:ascii="Times New Roman" w:eastAsia="Times New Roman" w:hAnsi="Times New Roman" w:cs="Times New Roman"/>
                <w:b/>
                <w:bCs/>
                <w:sz w:val="26"/>
                <w:szCs w:val="26"/>
              </w:rPr>
              <w:t>Tên đơn vị, cơ sở</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sz w:val="26"/>
                <w:szCs w:val="26"/>
              </w:rPr>
            </w:pPr>
            <w:r w:rsidRPr="0095650A">
              <w:rPr>
                <w:rFonts w:ascii="Times New Roman" w:eastAsia="Times New Roman" w:hAnsi="Times New Roman" w:cs="Times New Roman"/>
                <w:b/>
                <w:bCs/>
                <w:sz w:val="26"/>
                <w:szCs w:val="26"/>
              </w:rPr>
              <w:t xml:space="preserve">Địa chỉ </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sz w:val="26"/>
                <w:szCs w:val="26"/>
              </w:rPr>
            </w:pPr>
            <w:r w:rsidRPr="0095650A">
              <w:rPr>
                <w:rFonts w:ascii="Times New Roman" w:eastAsia="Times New Roman" w:hAnsi="Times New Roman" w:cs="Times New Roman"/>
                <w:b/>
                <w:bCs/>
                <w:sz w:val="26"/>
                <w:szCs w:val="26"/>
              </w:rPr>
              <w:t>Hành vi vi phạm</w:t>
            </w:r>
          </w:p>
        </w:tc>
        <w:tc>
          <w:tcPr>
            <w:tcW w:w="154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Phạt tiền</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 xml:space="preserve">Hình phạt </w:t>
            </w:r>
            <w:r w:rsidRPr="0095650A">
              <w:rPr>
                <w:rFonts w:ascii="Times New Roman" w:eastAsia="Times New Roman" w:hAnsi="Times New Roman" w:cs="Times New Roman"/>
                <w:b/>
                <w:bCs/>
                <w:color w:val="000000"/>
                <w:sz w:val="26"/>
                <w:szCs w:val="26"/>
              </w:rPr>
              <w:br/>
              <w:t>bổ sung</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Biện pháp</w:t>
            </w:r>
            <w:r w:rsidRPr="0095650A">
              <w:rPr>
                <w:rFonts w:ascii="Times New Roman" w:eastAsia="Times New Roman" w:hAnsi="Times New Roman" w:cs="Times New Roman"/>
                <w:b/>
                <w:bCs/>
                <w:color w:val="000000"/>
                <w:sz w:val="26"/>
                <w:szCs w:val="26"/>
              </w:rPr>
              <w:br/>
              <w:t>khắc phục hậu quả</w:t>
            </w:r>
          </w:p>
        </w:tc>
      </w:tr>
      <w:tr w:rsidR="0095650A" w:rsidRPr="0095650A" w:rsidTr="0095650A">
        <w:trPr>
          <w:gridAfter w:val="1"/>
          <w:wAfter w:w="10" w:type="dxa"/>
          <w:trHeight w:val="132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1</w:t>
            </w:r>
          </w:p>
        </w:tc>
        <w:tc>
          <w:tcPr>
            <w:tcW w:w="1564"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526/QĐ-XPVPHC ngày 01/11/2023</w:t>
            </w:r>
          </w:p>
        </w:tc>
        <w:tc>
          <w:tcPr>
            <w:tcW w:w="1701"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Hộ kinh doanh nhà thuốc Tân Hùng Phát 2</w:t>
            </w:r>
          </w:p>
        </w:tc>
        <w:tc>
          <w:tcPr>
            <w:tcW w:w="2410"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Số 261 Tô Hiệu, Dịch vọng, Cầu Giấy, thành phố Hà Nội</w:t>
            </w:r>
          </w:p>
        </w:tc>
        <w:tc>
          <w:tcPr>
            <w:tcW w:w="3969"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Không nộp hồ sơ đề nghị đánh giá định kỳ việc duy trì đáp ứng thực hành tốt cơ sở bán lẻ thuốc theo quy định của pháp luật</w:t>
            </w:r>
          </w:p>
        </w:tc>
        <w:tc>
          <w:tcPr>
            <w:tcW w:w="1549"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7,500,000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c>
          <w:tcPr>
            <w:tcW w:w="1705"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r>
      <w:tr w:rsidR="0095650A" w:rsidRPr="0095650A" w:rsidTr="0095650A">
        <w:trPr>
          <w:gridAfter w:val="1"/>
          <w:wAfter w:w="10" w:type="dxa"/>
          <w:trHeight w:val="99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2</w:t>
            </w:r>
          </w:p>
        </w:tc>
        <w:tc>
          <w:tcPr>
            <w:tcW w:w="1564"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533/QĐ-XPVPHC ngày 08/11/2023</w:t>
            </w:r>
          </w:p>
        </w:tc>
        <w:tc>
          <w:tcPr>
            <w:tcW w:w="1701"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Hộ kinh doanh nhà thuốc Zephar</w:t>
            </w:r>
          </w:p>
        </w:tc>
        <w:tc>
          <w:tcPr>
            <w:tcW w:w="2410"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 xml:space="preserve">Số 01 phố Hoàng Ngân, phường Nhân Chính, Thanh xuân </w:t>
            </w:r>
          </w:p>
        </w:tc>
        <w:tc>
          <w:tcPr>
            <w:tcW w:w="3969"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Không tuân thủ các quy định về thực hành tốt cơ sở bán lẻ thuốc</w:t>
            </w:r>
          </w:p>
        </w:tc>
        <w:tc>
          <w:tcPr>
            <w:tcW w:w="1549"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7,500,000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c>
          <w:tcPr>
            <w:tcW w:w="1705"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r>
      <w:tr w:rsidR="0095650A" w:rsidRPr="0095650A" w:rsidTr="0095650A">
        <w:trPr>
          <w:gridAfter w:val="1"/>
          <w:wAfter w:w="10" w:type="dxa"/>
          <w:trHeight w:val="99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3</w:t>
            </w:r>
          </w:p>
        </w:tc>
        <w:tc>
          <w:tcPr>
            <w:tcW w:w="1564"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534/QĐ-XPVPHC ngày 08/11/2023</w:t>
            </w:r>
          </w:p>
        </w:tc>
        <w:tc>
          <w:tcPr>
            <w:tcW w:w="1701"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Hộ kinh doanh Nhà thuốc Ngân Hà</w:t>
            </w:r>
          </w:p>
        </w:tc>
        <w:tc>
          <w:tcPr>
            <w:tcW w:w="2410"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Số 26A đường Mỹ Đình, Mỹ đình 2, Nam Từ Liêm</w:t>
            </w:r>
          </w:p>
        </w:tc>
        <w:tc>
          <w:tcPr>
            <w:tcW w:w="3969"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Không tuân thủ các quy định về thực hành tốt cơ sở bán lẻ thuốc</w:t>
            </w:r>
          </w:p>
        </w:tc>
        <w:tc>
          <w:tcPr>
            <w:tcW w:w="1549"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7,500,000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c>
          <w:tcPr>
            <w:tcW w:w="1705"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r>
      <w:tr w:rsidR="0095650A" w:rsidRPr="0095650A" w:rsidTr="0095650A">
        <w:trPr>
          <w:gridAfter w:val="1"/>
          <w:wAfter w:w="10" w:type="dxa"/>
          <w:trHeight w:val="99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4</w:t>
            </w:r>
          </w:p>
        </w:tc>
        <w:tc>
          <w:tcPr>
            <w:tcW w:w="1564"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535/QĐ-XPVPHC ngày 08/11/2023</w:t>
            </w:r>
          </w:p>
        </w:tc>
        <w:tc>
          <w:tcPr>
            <w:tcW w:w="1701"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Hộ kinh doanh quầy thuốc Thảo Tâm</w:t>
            </w:r>
          </w:p>
        </w:tc>
        <w:tc>
          <w:tcPr>
            <w:tcW w:w="2410"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Đường Núi Đôi, Sóc sơn, thành phố Hà Nội</w:t>
            </w:r>
          </w:p>
        </w:tc>
        <w:tc>
          <w:tcPr>
            <w:tcW w:w="3969"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Không báo cáo Sở Y tế Hà Nội trong trường hợp tạm dừng hoạt động từ 06 tháng trở lên hoặc chấm dứt hoạt động</w:t>
            </w:r>
          </w:p>
        </w:tc>
        <w:tc>
          <w:tcPr>
            <w:tcW w:w="1549"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2,000,000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c>
          <w:tcPr>
            <w:tcW w:w="1705"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r>
      <w:tr w:rsidR="0095650A" w:rsidRPr="0095650A" w:rsidTr="0095650A">
        <w:trPr>
          <w:gridAfter w:val="1"/>
          <w:wAfter w:w="10" w:type="dxa"/>
          <w:trHeight w:val="132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5</w:t>
            </w:r>
          </w:p>
        </w:tc>
        <w:tc>
          <w:tcPr>
            <w:tcW w:w="1564"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536/QĐ-XPVPHC ngày 08/11/2023</w:t>
            </w:r>
          </w:p>
        </w:tc>
        <w:tc>
          <w:tcPr>
            <w:tcW w:w="1701"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Hộ kinh doanh Quầy thuốc Huyền Như</w:t>
            </w:r>
          </w:p>
        </w:tc>
        <w:tc>
          <w:tcPr>
            <w:tcW w:w="2410"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Kiot 20A, Chợ Sóc Sơn, huyện Sóc Sơn, thành phố Hà Nội</w:t>
            </w:r>
          </w:p>
        </w:tc>
        <w:tc>
          <w:tcPr>
            <w:tcW w:w="3969"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Không báo cáo Sở Y tế Hà Nội trong trường hợp tạm dừng hoạt động từ 06 tháng trở lên hoặc chấm dứt hoạt động</w:t>
            </w:r>
          </w:p>
        </w:tc>
        <w:tc>
          <w:tcPr>
            <w:tcW w:w="1549"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2,000,000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c>
          <w:tcPr>
            <w:tcW w:w="1705"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r>
      <w:tr w:rsidR="0095650A" w:rsidRPr="0095650A" w:rsidTr="0095650A">
        <w:trPr>
          <w:gridAfter w:val="1"/>
          <w:wAfter w:w="10" w:type="dxa"/>
          <w:trHeight w:val="198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6</w:t>
            </w:r>
          </w:p>
        </w:tc>
        <w:tc>
          <w:tcPr>
            <w:tcW w:w="1564"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537/QĐ-XPVPHC ngày 09/11/2023</w:t>
            </w:r>
          </w:p>
        </w:tc>
        <w:tc>
          <w:tcPr>
            <w:tcW w:w="1701"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 xml:space="preserve">Phòng khám chuyên khoa Y học gia đình Woori trực thuộc Công ty TNHH Woori Bio Việt Nam </w:t>
            </w:r>
          </w:p>
        </w:tc>
        <w:tc>
          <w:tcPr>
            <w:tcW w:w="2410"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Villa D04 KĐT Mỹ Đình - Mễ Trì, phường Mỹ Đình 1, quận Nam Từ Liêm, thành phố Hà Nội</w:t>
            </w:r>
          </w:p>
        </w:tc>
        <w:tc>
          <w:tcPr>
            <w:tcW w:w="3969"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Biển hiệu không có đủ các thông tin cơ bản theo quy định của pháp luật; Lập sổ khám bệnh, chữa bệnh nhưng không ghi chép đầy đủ theo quy định của pháp luật</w:t>
            </w:r>
          </w:p>
        </w:tc>
        <w:tc>
          <w:tcPr>
            <w:tcW w:w="1549"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8,000,000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c>
          <w:tcPr>
            <w:tcW w:w="1705"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r>
      <w:tr w:rsidR="0095650A" w:rsidRPr="0095650A" w:rsidTr="0095650A">
        <w:trPr>
          <w:gridAfter w:val="1"/>
          <w:wAfter w:w="10" w:type="dxa"/>
          <w:trHeight w:val="165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bookmarkStart w:id="0" w:name="_GoBack"/>
            <w:r w:rsidRPr="0095650A">
              <w:rPr>
                <w:rFonts w:ascii="Times New Roman" w:eastAsia="Times New Roman" w:hAnsi="Times New Roman" w:cs="Times New Roman"/>
                <w:b/>
                <w:bCs/>
                <w:color w:val="000000"/>
                <w:sz w:val="26"/>
                <w:szCs w:val="26"/>
              </w:rPr>
              <w:lastRenderedPageBreak/>
              <w:t>7</w:t>
            </w:r>
          </w:p>
        </w:tc>
        <w:tc>
          <w:tcPr>
            <w:tcW w:w="1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538/QĐ-XPVPHC ngày 9/11/2023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CN Cty TNHH dược phẩm Shinpoong Daewo</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 xml:space="preserve">Phòng B102, nhà số 2, ngõ 59 Láng Hạ, phường Thành Công, quận Ba Đình, Hà Nội </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Quảng cáo các sản phẩm, hàng hóa mà không được cơ quan nhà nước có thẩm quyền xác nhận nội dung trước khi thực hiện quảng cáo theo quy định;</w:t>
            </w:r>
          </w:p>
        </w:tc>
        <w:tc>
          <w:tcPr>
            <w:tcW w:w="15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45,000,000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 xml:space="preserve">Không </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 xml:space="preserve">Buộc tháo gỡ </w:t>
            </w:r>
            <w:r w:rsidRPr="0095650A">
              <w:rPr>
                <w:rFonts w:ascii="Times New Roman" w:eastAsia="Times New Roman" w:hAnsi="Times New Roman" w:cs="Times New Roman"/>
                <w:color w:val="000000"/>
                <w:sz w:val="26"/>
                <w:szCs w:val="26"/>
              </w:rPr>
              <w:br/>
              <w:t xml:space="preserve">nội dung quảng cáo </w:t>
            </w:r>
          </w:p>
        </w:tc>
      </w:tr>
      <w:bookmarkEnd w:id="0"/>
      <w:tr w:rsidR="0095650A" w:rsidRPr="0095650A" w:rsidTr="0095650A">
        <w:trPr>
          <w:gridAfter w:val="1"/>
          <w:wAfter w:w="10" w:type="dxa"/>
          <w:trHeight w:val="165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8</w:t>
            </w:r>
          </w:p>
        </w:tc>
        <w:tc>
          <w:tcPr>
            <w:tcW w:w="1564" w:type="dxa"/>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539/QĐ-XPVPHC ngày 9/11/2023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Công ty cổ phần Venus Group</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Số 16, ngách 77, ngõ 24 Kim Đồng, phường Giáp Bát, quận Hoàng Mai, Hà Nội</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 xml:space="preserve">Không lưu giữ chứng từ tài liệu có liên quan đến lô thuốc, nguyên liệu làm thuốc trong thời gian phải lưu giữ theo quy định của pháp luật; </w:t>
            </w:r>
          </w:p>
        </w:tc>
        <w:tc>
          <w:tcPr>
            <w:tcW w:w="1549" w:type="dxa"/>
            <w:gridSpan w:val="2"/>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15,000,000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 xml:space="preserve">Không </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r>
      <w:tr w:rsidR="0095650A" w:rsidRPr="0095650A" w:rsidTr="0095650A">
        <w:trPr>
          <w:gridAfter w:val="1"/>
          <w:wAfter w:w="10" w:type="dxa"/>
          <w:trHeight w:val="264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9</w:t>
            </w:r>
          </w:p>
        </w:tc>
        <w:tc>
          <w:tcPr>
            <w:tcW w:w="1564"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540/QĐ-XPVPHC ngày 9/11/2023</w:t>
            </w:r>
          </w:p>
        </w:tc>
        <w:tc>
          <w:tcPr>
            <w:tcW w:w="1701"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 xml:space="preserve">Phòng khám chuyên khoa YHCT Seoul trực thuộc Công ty TNHH thương mại xuất nhập khẩu thực phẩm và thức ăn chăn nuôi Đồng Tâm </w:t>
            </w:r>
          </w:p>
        </w:tc>
        <w:tc>
          <w:tcPr>
            <w:tcW w:w="2410"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Số 30-TT1, KĐT Mỹ Đình, phường Mỹ Đình, quận Nam Từ Liêm, thành phố Hà Nội</w:t>
            </w:r>
          </w:p>
        </w:tc>
        <w:tc>
          <w:tcPr>
            <w:tcW w:w="3969"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 xml:space="preserve">Lập sổ khám bệnh, chữa bệnh nhưng không ghi chép đầy đủ theo quy định của pháp luật; Không báo cáo cơ quan nhà nước có thẩm quyền trong trường hợp thay đổi người hành nghề theo quy định của pháp luật. </w:t>
            </w:r>
          </w:p>
        </w:tc>
        <w:tc>
          <w:tcPr>
            <w:tcW w:w="1549"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12,000,000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 xml:space="preserve">Không </w:t>
            </w:r>
          </w:p>
        </w:tc>
        <w:tc>
          <w:tcPr>
            <w:tcW w:w="1705"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r>
      <w:tr w:rsidR="0095650A" w:rsidRPr="0095650A" w:rsidTr="0095650A">
        <w:trPr>
          <w:gridAfter w:val="1"/>
          <w:wAfter w:w="10" w:type="dxa"/>
          <w:trHeight w:val="231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10</w:t>
            </w:r>
          </w:p>
        </w:tc>
        <w:tc>
          <w:tcPr>
            <w:tcW w:w="1564"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541/QĐ-XPVPHC ngày 9/11/2023</w:t>
            </w:r>
          </w:p>
        </w:tc>
        <w:tc>
          <w:tcPr>
            <w:tcW w:w="1701"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Hộ kinh doanh Xing Luxury thẩm mỹ công nghệ cao</w:t>
            </w:r>
          </w:p>
        </w:tc>
        <w:tc>
          <w:tcPr>
            <w:tcW w:w="2410"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S11 tầng 1, tòa Park 12, KĐT Times City Park Hill, phường Mai Động, quận Hoàng Mai, thành phố Hà Nội</w:t>
            </w:r>
          </w:p>
        </w:tc>
        <w:tc>
          <w:tcPr>
            <w:tcW w:w="3969"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sz w:val="26"/>
                <w:szCs w:val="26"/>
              </w:rPr>
            </w:pPr>
            <w:r w:rsidRPr="0095650A">
              <w:rPr>
                <w:rFonts w:ascii="Times New Roman" w:eastAsia="Times New Roman" w:hAnsi="Times New Roman" w:cs="Times New Roman"/>
                <w:sz w:val="26"/>
                <w:szCs w:val="26"/>
              </w:rPr>
              <w:t xml:space="preserve">Cung cấp dịch vụ khám bệnh, chữa bệnh mà không có giấy phép hoạt động khám bệnh, chữa bệnh; Cung cấp dịch vụ thẩm mỹ tại cơ sở dịch vụ thẩm mỹ khi chưa có văn bản thông báo đáp ứng đủ điều kiện cung cấp dịch vụ thẩm mỹ gửi về cơ quan nhà nước có thẩm quyền theo quy định của pháp luật </w:t>
            </w:r>
          </w:p>
        </w:tc>
        <w:tc>
          <w:tcPr>
            <w:tcW w:w="1549"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90,000,000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 xml:space="preserve">Đình chỉ hoạt động của cơ sở trong thời hạn 24 tháng </w:t>
            </w:r>
          </w:p>
        </w:tc>
        <w:tc>
          <w:tcPr>
            <w:tcW w:w="1705" w:type="dxa"/>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color w:val="000000"/>
                <w:sz w:val="26"/>
                <w:szCs w:val="26"/>
              </w:rPr>
            </w:pPr>
            <w:r w:rsidRPr="0095650A">
              <w:rPr>
                <w:rFonts w:ascii="Times New Roman" w:eastAsia="Times New Roman" w:hAnsi="Times New Roman" w:cs="Times New Roman"/>
                <w:color w:val="000000"/>
                <w:sz w:val="26"/>
                <w:szCs w:val="26"/>
              </w:rPr>
              <w:t>Không</w:t>
            </w:r>
          </w:p>
        </w:tc>
      </w:tr>
      <w:tr w:rsidR="0095650A" w:rsidRPr="0095650A" w:rsidTr="0095650A">
        <w:trPr>
          <w:trHeight w:val="375"/>
        </w:trPr>
        <w:tc>
          <w:tcPr>
            <w:tcW w:w="1021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sz w:val="26"/>
                <w:szCs w:val="26"/>
              </w:rPr>
            </w:pPr>
            <w:r w:rsidRPr="0095650A">
              <w:rPr>
                <w:rFonts w:ascii="Times New Roman" w:eastAsia="Times New Roman" w:hAnsi="Times New Roman" w:cs="Times New Roman"/>
                <w:b/>
                <w:bCs/>
                <w:sz w:val="26"/>
                <w:szCs w:val="26"/>
              </w:rPr>
              <w:t>Tổng</w:t>
            </w:r>
          </w:p>
        </w:tc>
        <w:tc>
          <w:tcPr>
            <w:tcW w:w="1549" w:type="dxa"/>
            <w:gridSpan w:val="2"/>
            <w:tcBorders>
              <w:top w:val="nil"/>
              <w:left w:val="nil"/>
              <w:bottom w:val="single" w:sz="4" w:space="0" w:color="auto"/>
              <w:right w:val="single" w:sz="4" w:space="0" w:color="auto"/>
            </w:tcBorders>
            <w:shd w:val="clear" w:color="000000" w:fill="FFFFFF"/>
            <w:vAlign w:val="center"/>
            <w:hideMark/>
          </w:tcPr>
          <w:p w:rsidR="0095650A" w:rsidRPr="0095650A" w:rsidRDefault="0095650A" w:rsidP="0095650A">
            <w:pPr>
              <w:spacing w:after="0" w:line="240" w:lineRule="auto"/>
              <w:jc w:val="center"/>
              <w:rPr>
                <w:rFonts w:ascii="Times New Roman" w:eastAsia="Times New Roman" w:hAnsi="Times New Roman" w:cs="Times New Roman"/>
                <w:b/>
                <w:bCs/>
                <w:sz w:val="26"/>
                <w:szCs w:val="26"/>
              </w:rPr>
            </w:pPr>
            <w:r w:rsidRPr="0095650A">
              <w:rPr>
                <w:rFonts w:ascii="Times New Roman" w:eastAsia="Times New Roman" w:hAnsi="Times New Roman" w:cs="Times New Roman"/>
                <w:b/>
                <w:bCs/>
                <w:sz w:val="26"/>
                <w:szCs w:val="26"/>
              </w:rPr>
              <w:t>196,500,000</w:t>
            </w:r>
          </w:p>
        </w:tc>
        <w:tc>
          <w:tcPr>
            <w:tcW w:w="340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95650A" w:rsidRPr="0095650A" w:rsidRDefault="0095650A" w:rsidP="0095650A">
            <w:pPr>
              <w:spacing w:after="0" w:line="240" w:lineRule="auto"/>
              <w:jc w:val="center"/>
              <w:rPr>
                <w:rFonts w:ascii="Times New Roman" w:eastAsia="Times New Roman" w:hAnsi="Times New Roman" w:cs="Times New Roman"/>
                <w:b/>
                <w:bCs/>
                <w:color w:val="000000"/>
                <w:sz w:val="26"/>
                <w:szCs w:val="26"/>
              </w:rPr>
            </w:pPr>
            <w:r w:rsidRPr="0095650A">
              <w:rPr>
                <w:rFonts w:ascii="Times New Roman" w:eastAsia="Times New Roman" w:hAnsi="Times New Roman" w:cs="Times New Roman"/>
                <w:b/>
                <w:bCs/>
                <w:color w:val="000000"/>
                <w:sz w:val="26"/>
                <w:szCs w:val="26"/>
              </w:rPr>
              <w:t> </w:t>
            </w:r>
          </w:p>
        </w:tc>
      </w:tr>
    </w:tbl>
    <w:p w:rsidR="008348A6" w:rsidRDefault="008348A6"/>
    <w:sectPr w:rsidR="008348A6" w:rsidSect="0095650A">
      <w:pgSz w:w="15840" w:h="12240" w:orient="landscape"/>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0A"/>
    <w:rsid w:val="008348A6"/>
    <w:rsid w:val="0095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80B35-57CC-4117-89C8-0CB82C0C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2023-11-14T09:21:00Z</dcterms:created>
  <dcterms:modified xsi:type="dcterms:W3CDTF">2023-11-14T09:22:00Z</dcterms:modified>
</cp:coreProperties>
</file>